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7B" w:rsidRDefault="005F417B" w:rsidP="005F417B">
      <w:pPr>
        <w:spacing w:before="225" w:after="75"/>
        <w:ind w:right="225"/>
        <w:rPr>
          <w:rFonts w:ascii="Calibri Light" w:hAnsi="Calibri Light" w:cs="Calibri Light"/>
          <w:b/>
          <w:bCs/>
          <w:color w:val="000000"/>
          <w:sz w:val="36"/>
          <w:szCs w:val="36"/>
          <w:lang w:eastAsia="da-DK"/>
        </w:rPr>
      </w:pPr>
      <w:r>
        <w:rPr>
          <w:rFonts w:ascii="Calibri Light" w:hAnsi="Calibri Light" w:cs="Calibri Light"/>
          <w:b/>
          <w:bCs/>
          <w:color w:val="000000"/>
          <w:sz w:val="36"/>
          <w:szCs w:val="36"/>
          <w:lang w:eastAsia="da-DK"/>
        </w:rPr>
        <w:t xml:space="preserve">Duftpolitikken... </w:t>
      </w:r>
    </w:p>
    <w:p w:rsidR="005F417B" w:rsidRDefault="005F417B" w:rsidP="005F417B">
      <w:pPr>
        <w:rPr>
          <w:rFonts w:ascii="Calibri Light" w:hAnsi="Calibri Light" w:cs="Calibri Light"/>
          <w:color w:val="000000"/>
          <w:sz w:val="20"/>
          <w:szCs w:val="20"/>
          <w:lang w:eastAsia="da-DK"/>
        </w:rPr>
      </w:pPr>
      <w:proofErr w:type="gramStart"/>
      <w:r>
        <w:rPr>
          <w:rFonts w:ascii="Calibri Light" w:hAnsi="Calibri Light" w:cs="Calibri Light"/>
          <w:color w:val="000000"/>
          <w:sz w:val="20"/>
          <w:szCs w:val="20"/>
          <w:lang w:eastAsia="da-DK"/>
        </w:rPr>
        <w:t>...tilstræber</w:t>
      </w:r>
      <w:proofErr w:type="gramEnd"/>
      <w:r>
        <w:rPr>
          <w:rFonts w:ascii="Calibri Light" w:hAnsi="Calibri Light" w:cs="Calibri Light"/>
          <w:color w:val="000000"/>
          <w:sz w:val="20"/>
          <w:szCs w:val="20"/>
          <w:lang w:eastAsia="da-DK"/>
        </w:rPr>
        <w:t xml:space="preserve"> at imødekomme de udfordringer en duftallergiker kan have. </w:t>
      </w:r>
      <w:r>
        <w:rPr>
          <w:rFonts w:ascii="Calibri Light" w:hAnsi="Calibri Light" w:cs="Calibri Light"/>
          <w:color w:val="000000"/>
          <w:sz w:val="20"/>
          <w:szCs w:val="20"/>
          <w:lang w:eastAsia="da-DK"/>
        </w:rPr>
        <w:br/>
      </w:r>
      <w:r>
        <w:rPr>
          <w:rFonts w:ascii="Calibri Light" w:hAnsi="Calibri Light" w:cs="Calibri Light"/>
          <w:color w:val="000000"/>
          <w:sz w:val="20"/>
          <w:szCs w:val="20"/>
          <w:lang w:eastAsia="da-DK"/>
        </w:rPr>
        <w:br/>
        <w:t>Ved anvendelse af duft og parfumerede stoffer skal der tages hensyn til de gener, dette kan medføre for patienter, borgere, medarbejdere og øvrige, der færdes i regionen. ​</w:t>
      </w:r>
    </w:p>
    <w:tbl>
      <w:tblPr>
        <w:tblW w:w="5000" w:type="pct"/>
        <w:tblCellSpacing w:w="22" w:type="dxa"/>
        <w:tblCellMar>
          <w:left w:w="0" w:type="dxa"/>
          <w:right w:w="0" w:type="dxa"/>
        </w:tblCellMar>
        <w:tblLook w:val="04A0" w:firstRow="1" w:lastRow="0" w:firstColumn="1" w:lastColumn="0" w:noHBand="0" w:noVBand="1"/>
      </w:tblPr>
      <w:tblGrid>
        <w:gridCol w:w="9638"/>
      </w:tblGrid>
      <w:tr w:rsidR="005F417B" w:rsidTr="005F417B">
        <w:trPr>
          <w:tblCellSpacing w:w="22" w:type="dxa"/>
        </w:trPr>
        <w:tc>
          <w:tcPr>
            <w:tcW w:w="4988" w:type="pct"/>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9520"/>
            </w:tblGrid>
            <w:tr w:rsidR="005F417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520"/>
                  </w:tblGrid>
                  <w:tr w:rsidR="005F417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5"/>
                          <w:gridCol w:w="9055"/>
                          <w:gridCol w:w="315"/>
                          <w:gridCol w:w="75"/>
                        </w:tblGrid>
                        <w:tr w:rsidR="005F417B">
                          <w:trPr>
                            <w:tblCellSpacing w:w="0" w:type="dxa"/>
                          </w:trPr>
                          <w:tc>
                            <w:tcPr>
                              <w:tcW w:w="75" w:type="dxa"/>
                              <w:shd w:val="clear" w:color="auto" w:fill="FFFFFF"/>
                              <w:vAlign w:val="center"/>
                              <w:hideMark/>
                            </w:tcPr>
                            <w:p w:rsidR="005F417B" w:rsidRDefault="005F417B">
                              <w:pPr>
                                <w:rPr>
                                  <w:rFonts w:ascii="Calibri Light" w:hAnsi="Calibri Light" w:cs="Calibri Light"/>
                                  <w:color w:val="000000"/>
                                  <w:sz w:val="14"/>
                                  <w:szCs w:val="14"/>
                                  <w:lang w:eastAsia="da-DK"/>
                                </w:rPr>
                              </w:pPr>
                              <w:r>
                                <w:rPr>
                                  <w:rFonts w:ascii="Calibri Light" w:hAnsi="Calibri Light" w:cs="Calibri Light"/>
                                  <w:color w:val="000000"/>
                                  <w:sz w:val="14"/>
                                  <w:szCs w:val="14"/>
                                  <w:lang w:eastAsia="da-DK"/>
                                </w:rPr>
                                <w:t> </w:t>
                              </w:r>
                            </w:p>
                          </w:tc>
                          <w:tc>
                            <w:tcPr>
                              <w:tcW w:w="0" w:type="auto"/>
                              <w:shd w:val="clear" w:color="auto" w:fill="FFFFFF"/>
                              <w:vAlign w:val="center"/>
                              <w:hideMark/>
                            </w:tcPr>
                            <w:p w:rsidR="005F417B" w:rsidRDefault="005F417B">
                              <w:pPr>
                                <w:spacing w:before="75" w:after="75"/>
                                <w:jc w:val="both"/>
                                <w:rPr>
                                  <w:rFonts w:ascii="Calibri Light" w:hAnsi="Calibri Light" w:cs="Calibri Light"/>
                                  <w:caps/>
                                  <w:color w:val="000000"/>
                                  <w:sz w:val="21"/>
                                  <w:szCs w:val="21"/>
                                  <w:lang w:eastAsia="da-DK"/>
                                </w:rPr>
                              </w:pPr>
                              <w:r>
                                <w:rPr>
                                  <w:rFonts w:ascii="Calibri Light" w:hAnsi="Calibri Light" w:cs="Calibri Light"/>
                                  <w:caps/>
                                  <w:color w:val="000000"/>
                                  <w:sz w:val="21"/>
                                  <w:szCs w:val="21"/>
                                  <w:lang w:eastAsia="da-DK"/>
                                </w:rPr>
                                <w:t>Et stigende antal mennesker...</w:t>
                              </w:r>
                            </w:p>
                          </w:tc>
                          <w:tc>
                            <w:tcPr>
                              <w:tcW w:w="315" w:type="dxa"/>
                              <w:shd w:val="clear" w:color="auto" w:fill="FFFFFF"/>
                              <w:vAlign w:val="center"/>
                              <w:hideMark/>
                            </w:tcPr>
                            <w:p w:rsidR="005F417B" w:rsidRDefault="005F417B">
                              <w:pPr>
                                <w:rPr>
                                  <w:rFonts w:ascii="Calibri Light" w:hAnsi="Calibri Light" w:cs="Calibri Light"/>
                                  <w:caps/>
                                  <w:color w:val="000000"/>
                                  <w:sz w:val="21"/>
                                  <w:szCs w:val="21"/>
                                  <w:lang w:eastAsia="da-DK"/>
                                </w:rPr>
                              </w:pPr>
                            </w:p>
                          </w:tc>
                          <w:tc>
                            <w:tcPr>
                              <w:tcW w:w="75" w:type="dxa"/>
                              <w:shd w:val="clear" w:color="auto" w:fill="FFFFFF"/>
                              <w:vAlign w:val="center"/>
                              <w:hideMark/>
                            </w:tcPr>
                            <w:p w:rsidR="005F417B" w:rsidRDefault="005F417B">
                              <w:pPr>
                                <w:rPr>
                                  <w:rFonts w:ascii="Calibri Light" w:hAnsi="Calibri Light" w:cs="Calibri Light"/>
                                  <w:color w:val="000000"/>
                                  <w:sz w:val="14"/>
                                  <w:szCs w:val="14"/>
                                  <w:lang w:eastAsia="da-DK"/>
                                </w:rPr>
                              </w:pPr>
                              <w:r>
                                <w:rPr>
                                  <w:rFonts w:ascii="Calibri Light" w:hAnsi="Calibri Light" w:cs="Calibri Light"/>
                                  <w:color w:val="000000"/>
                                  <w:sz w:val="14"/>
                                  <w:szCs w:val="14"/>
                                  <w:lang w:eastAsia="da-DK"/>
                                </w:rPr>
                                <w:t> </w:t>
                              </w:r>
                            </w:p>
                          </w:tc>
                        </w:tr>
                      </w:tbl>
                      <w:p w:rsidR="005F417B" w:rsidRDefault="005F417B">
                        <w:pPr>
                          <w:rPr>
                            <w:rFonts w:ascii="Times New Roman" w:eastAsia="Times New Roman" w:hAnsi="Times New Roman" w:cs="Times New Roman"/>
                            <w:sz w:val="20"/>
                            <w:szCs w:val="20"/>
                            <w:lang w:eastAsia="da-DK"/>
                          </w:rPr>
                        </w:pPr>
                      </w:p>
                    </w:tc>
                  </w:tr>
                  <w:tr w:rsidR="005F417B">
                    <w:trPr>
                      <w:tblCellSpacing w:w="0" w:type="dxa"/>
                    </w:trPr>
                    <w:tc>
                      <w:tcPr>
                        <w:tcW w:w="0" w:type="auto"/>
                        <w:hideMark/>
                      </w:tcPr>
                      <w:p w:rsidR="005F417B" w:rsidRDefault="005F417B">
                        <w:pPr>
                          <w:spacing w:before="100" w:beforeAutospacing="1" w:after="100" w:afterAutospacing="1"/>
                          <w:rPr>
                            <w:rFonts w:ascii="Calibri Light" w:hAnsi="Calibri Light" w:cs="Calibri Light"/>
                            <w:color w:val="000000"/>
                            <w:sz w:val="20"/>
                            <w:szCs w:val="20"/>
                            <w:lang w:eastAsia="da-DK"/>
                          </w:rPr>
                        </w:pPr>
                        <w:r>
                          <w:rPr>
                            <w:rFonts w:ascii="Calibri Light" w:hAnsi="Calibri Light" w:cs="Calibri Light"/>
                            <w:noProof/>
                            <w:color w:val="000000"/>
                            <w:sz w:val="20"/>
                            <w:szCs w:val="20"/>
                            <w:lang w:eastAsia="da-DK"/>
                          </w:rPr>
                          <w:drawing>
                            <wp:inline distT="0" distB="0" distL="0" distR="0">
                              <wp:extent cx="4349115" cy="1049655"/>
                              <wp:effectExtent l="0" t="0" r="0" b="0"/>
                              <wp:docPr id="4" name="Billede 4" descr="http://intra.regionsjaelland.dk/personale/personalepolitik/duftpolitik/publishingimages/parfume6328791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http://intra.regionsjaelland.dk/personale/personalepolitik/duftpolitik/publishingimages/parfume6328791jf.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49115" cy="1049655"/>
                                      </a:xfrm>
                                      <a:prstGeom prst="rect">
                                        <a:avLst/>
                                      </a:prstGeom>
                                      <a:noFill/>
                                      <a:ln>
                                        <a:noFill/>
                                      </a:ln>
                                    </pic:spPr>
                                  </pic:pic>
                                </a:graphicData>
                              </a:graphic>
                            </wp:inline>
                          </w:drawing>
                        </w:r>
                        <w:r>
                          <w:rPr>
                            <w:rFonts w:ascii="Calibri Light" w:hAnsi="Calibri Light" w:cs="Calibri Light"/>
                            <w:color w:val="000000"/>
                            <w:sz w:val="20"/>
                            <w:szCs w:val="20"/>
                            <w:lang w:eastAsia="da-DK"/>
                          </w:rPr>
                          <w:t> </w:t>
                        </w:r>
                      </w:p>
                      <w:p w:rsidR="005F417B" w:rsidRDefault="005F417B">
                        <w:pPr>
                          <w:spacing w:before="100" w:beforeAutospacing="1" w:after="100" w:afterAutospacing="1"/>
                          <w:rPr>
                            <w:rFonts w:ascii="Calibri Light" w:hAnsi="Calibri Light" w:cs="Calibri Light"/>
                            <w:color w:val="000000"/>
                            <w:sz w:val="20"/>
                            <w:szCs w:val="20"/>
                            <w:lang w:eastAsia="da-DK"/>
                          </w:rPr>
                        </w:pPr>
                        <w:r>
                          <w:rPr>
                            <w:rFonts w:ascii="Calibri Light" w:hAnsi="Calibri Light" w:cs="Calibri Light"/>
                            <w:color w:val="000000"/>
                            <w:sz w:val="20"/>
                            <w:szCs w:val="20"/>
                            <w:lang w:eastAsia="da-DK"/>
                          </w:rPr>
                          <w:t>...generes i varie</w:t>
                        </w:r>
                        <w:r w:rsidR="00836207">
                          <w:rPr>
                            <w:rFonts w:ascii="Calibri Light" w:hAnsi="Calibri Light" w:cs="Calibri Light"/>
                            <w:color w:val="000000"/>
                            <w:sz w:val="20"/>
                            <w:szCs w:val="20"/>
                            <w:lang w:eastAsia="da-DK"/>
                          </w:rPr>
                          <w:t>re</w:t>
                        </w:r>
                        <w:bookmarkStart w:id="0" w:name="_GoBack"/>
                        <w:bookmarkEnd w:id="0"/>
                        <w:r>
                          <w:rPr>
                            <w:rFonts w:ascii="Calibri Light" w:hAnsi="Calibri Light" w:cs="Calibri Light"/>
                            <w:color w:val="000000"/>
                            <w:sz w:val="20"/>
                            <w:szCs w:val="20"/>
                            <w:lang w:eastAsia="da-DK"/>
                          </w:rPr>
                          <w:t>nde grad af duftstoffer fra omgivelserne. Ved mødet med Region Sjælland kan dette udgøre et selvstændigt problem, hvad enten det gælder en patient eller en borger, der er afhængig af hjælp, eller en medarbejder, for hvem et hensyn på arbejdspladsen kan være afgørende for, om vedkommende kan fungere socialt - i yderste konsekvens - beholde sit arbejde. </w:t>
                        </w:r>
                      </w:p>
                      <w:p w:rsidR="005F417B" w:rsidRDefault="005F417B">
                        <w:pPr>
                          <w:spacing w:before="100" w:beforeAutospacing="1" w:after="100" w:afterAutospacing="1"/>
                          <w:rPr>
                            <w:rFonts w:ascii="Calibri Light" w:hAnsi="Calibri Light" w:cs="Calibri Light"/>
                            <w:color w:val="000000"/>
                            <w:sz w:val="20"/>
                            <w:szCs w:val="20"/>
                            <w:lang w:eastAsia="da-DK"/>
                          </w:rPr>
                        </w:pPr>
                        <w:r>
                          <w:rPr>
                            <w:rFonts w:ascii="Calibri Light" w:hAnsi="Calibri Light" w:cs="Calibri Light"/>
                            <w:color w:val="000000"/>
                            <w:sz w:val="20"/>
                            <w:szCs w:val="20"/>
                            <w:lang w:eastAsia="da-DK"/>
                          </w:rPr>
                          <w:t xml:space="preserve">Opfordringerne i duftpolitikken er rettet mod alle regionens arbejdspladser. </w:t>
                        </w:r>
                      </w:p>
                    </w:tc>
                  </w:tr>
                </w:tbl>
                <w:p w:rsidR="005F417B" w:rsidRDefault="005F417B">
                  <w:pPr>
                    <w:rPr>
                      <w:rFonts w:ascii="Times New Roman" w:eastAsia="Times New Roman" w:hAnsi="Times New Roman" w:cs="Times New Roman"/>
                      <w:sz w:val="20"/>
                      <w:szCs w:val="20"/>
                      <w:lang w:eastAsia="da-DK"/>
                    </w:rPr>
                  </w:pPr>
                </w:p>
              </w:tc>
            </w:tr>
          </w:tbl>
          <w:p w:rsidR="005F417B" w:rsidRDefault="005F417B">
            <w:pPr>
              <w:rPr>
                <w:rFonts w:ascii="Times New Roman" w:eastAsia="Times New Roman" w:hAnsi="Times New Roman" w:cs="Times New Roman"/>
                <w:sz w:val="20"/>
                <w:szCs w:val="20"/>
                <w:lang w:eastAsia="da-DK"/>
              </w:rPr>
            </w:pPr>
          </w:p>
        </w:tc>
      </w:tr>
    </w:tbl>
    <w:p w:rsidR="005F417B" w:rsidRDefault="005F417B" w:rsidP="005F417B">
      <w:pPr>
        <w:rPr>
          <w:rFonts w:ascii="Calibri Light" w:hAnsi="Calibri Light" w:cs="Calibri Light"/>
          <w:b/>
          <w:bCs/>
        </w:rPr>
      </w:pPr>
    </w:p>
    <w:p w:rsidR="005F417B" w:rsidRDefault="005F417B" w:rsidP="005F417B">
      <w:pPr>
        <w:rPr>
          <w:rFonts w:ascii="Calibri Light" w:hAnsi="Calibri Light" w:cs="Calibri Light"/>
          <w:b/>
          <w:bCs/>
        </w:rPr>
      </w:pPr>
      <w:r>
        <w:rPr>
          <w:rFonts w:ascii="Calibri Light" w:hAnsi="Calibri Light" w:cs="Calibri Light"/>
          <w:b/>
          <w:bCs/>
        </w:rPr>
        <w:t>______________</w:t>
      </w:r>
    </w:p>
    <w:p w:rsidR="005F417B" w:rsidRDefault="005F417B" w:rsidP="005F417B">
      <w:pPr>
        <w:rPr>
          <w:rFonts w:ascii="Calibri Light" w:hAnsi="Calibri Light" w:cs="Calibri Light"/>
          <w:b/>
          <w:bCs/>
          <w:sz w:val="36"/>
          <w:szCs w:val="36"/>
        </w:rPr>
      </w:pPr>
    </w:p>
    <w:p w:rsidR="005F417B" w:rsidRDefault="005F417B" w:rsidP="005F417B">
      <w:pPr>
        <w:rPr>
          <w:rFonts w:ascii="Calibri Light" w:hAnsi="Calibri Light" w:cs="Calibri Light"/>
          <w:b/>
          <w:bCs/>
          <w:sz w:val="36"/>
          <w:szCs w:val="36"/>
        </w:rPr>
      </w:pPr>
      <w:r>
        <w:rPr>
          <w:rFonts w:ascii="Calibri Light" w:hAnsi="Calibri Light" w:cs="Calibri Light"/>
          <w:b/>
          <w:bCs/>
          <w:sz w:val="36"/>
          <w:szCs w:val="36"/>
        </w:rPr>
        <w:t>MOBILTELEFONER, SMARTPHONES O. LIGN.</w:t>
      </w:r>
    </w:p>
    <w:p w:rsidR="005F417B" w:rsidRDefault="005F417B" w:rsidP="005F417B">
      <w:pPr>
        <w:rPr>
          <w:rFonts w:ascii="Calibri Light" w:hAnsi="Calibri Light" w:cs="Calibri Light"/>
          <w:b/>
          <w:bCs/>
          <w:sz w:val="36"/>
          <w:szCs w:val="36"/>
        </w:rPr>
      </w:pPr>
      <w:r>
        <w:rPr>
          <w:rFonts w:ascii="Calibri Light" w:hAnsi="Calibri Light" w:cs="Calibri Light"/>
          <w:b/>
          <w:bCs/>
          <w:noProof/>
          <w:sz w:val="36"/>
          <w:szCs w:val="36"/>
          <w:lang w:eastAsia="da-DK"/>
        </w:rPr>
        <w:drawing>
          <wp:inline distT="0" distB="0" distL="0" distR="0">
            <wp:extent cx="1463040" cy="962025"/>
            <wp:effectExtent l="0" t="0" r="3810" b="9525"/>
            <wp:docPr id="3" name="Billede 3" descr="cid:image008.jpg@01DA0D9E.04AF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8.jpg@01DA0D9E.04AF44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63040" cy="962025"/>
                    </a:xfrm>
                    <a:prstGeom prst="rect">
                      <a:avLst/>
                    </a:prstGeom>
                    <a:noFill/>
                    <a:ln>
                      <a:noFill/>
                    </a:ln>
                  </pic:spPr>
                </pic:pic>
              </a:graphicData>
            </a:graphic>
          </wp:inline>
        </w:drawing>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rPr>
        <w:t xml:space="preserve">Private mobiltelefoner og smartphones skal som udgangspunkt være indstillet på lydløs i arbejdstiden og brugen skal begrænses til et minimum. Administrativt personale er undtaget herfra. Enkelte øvrige medarbejdere, hvis arbejdsfunktion kræver adgang til og brug af mobiltelefon, kan ligeledes være undtaget herfra. </w:t>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rPr>
        <w:t xml:space="preserve">Hvis særlige forhold kræver det, f. eks. egne børns sygdom el. lign. kan enhver medarbejder gå afsides og foretage private opkald – når det er foreneligt med arbejdet. Medarbejderne har altid mulighed for at ringe korte beskeder fra institutionens telefoner. </w:t>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rPr>
        <w:t xml:space="preserve">For pædagogisk personale gælder at private mobiltelefoner og smartphones kan benyttes i samværet med børn og unge, såfremt det tjener et pædagogisk formål f. eks. internetspil, at se </w:t>
      </w:r>
      <w:proofErr w:type="spellStart"/>
      <w:r>
        <w:rPr>
          <w:rFonts w:ascii="Calibri Light" w:hAnsi="Calibri Light" w:cs="Calibri Light"/>
        </w:rPr>
        <w:t>You</w:t>
      </w:r>
      <w:proofErr w:type="spellEnd"/>
      <w:r>
        <w:rPr>
          <w:rFonts w:ascii="Calibri Light" w:hAnsi="Calibri Light" w:cs="Calibri Light"/>
        </w:rPr>
        <w:t xml:space="preserve"> Tube klip sammen, søge oplysninger på nettet osv. Det samme gør sig gældende for </w:t>
      </w:r>
      <w:proofErr w:type="spellStart"/>
      <w:r>
        <w:rPr>
          <w:rFonts w:ascii="Calibri Light" w:hAnsi="Calibri Light" w:cs="Calibri Light"/>
        </w:rPr>
        <w:t>Ipads</w:t>
      </w:r>
      <w:proofErr w:type="spellEnd"/>
      <w:r>
        <w:rPr>
          <w:rFonts w:ascii="Calibri Light" w:hAnsi="Calibri Light" w:cs="Calibri Light"/>
        </w:rPr>
        <w:t xml:space="preserve">, tablets osv. Der opfordres dog til, at der afdelingernes egne mobiler benyttes til dette formål. Endelig kan der være situationer, hvor den enkelte medarbejder kan benytte sin private mobiltelefon eller smartphone til at foretage opkald eller skrive sms’er til en anden medarbejder. Det kan være i situationer, hvor det handler om at tilrettelægge og koordinere </w:t>
      </w:r>
      <w:r>
        <w:rPr>
          <w:rFonts w:ascii="Calibri Light" w:hAnsi="Calibri Light" w:cs="Calibri Light"/>
        </w:rPr>
        <w:lastRenderedPageBreak/>
        <w:t xml:space="preserve">indsatsen overfor børnene bedst muligt. Der opfordres dog til, at afdelingernes egne mobiler anvendes til formålet. </w:t>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rPr>
        <w:t xml:space="preserve">Som hovedregel er det ikke accepteret, at private mobiltelefoner og smartphones ligger synligt ved f.eks. møder, og de skal være slukket eller på lydløs. Såfremt en medarbejder ønsker at benytte sin mobiltelefon, smartphone eller </w:t>
      </w:r>
      <w:proofErr w:type="spellStart"/>
      <w:r>
        <w:rPr>
          <w:rFonts w:ascii="Calibri Light" w:hAnsi="Calibri Light" w:cs="Calibri Light"/>
        </w:rPr>
        <w:t>Ipad</w:t>
      </w:r>
      <w:proofErr w:type="spellEnd"/>
      <w:r>
        <w:rPr>
          <w:rFonts w:ascii="Calibri Light" w:hAnsi="Calibri Light" w:cs="Calibri Light"/>
        </w:rPr>
        <w:t xml:space="preserve"> som arbejdsredskab (kalenderfunktion, tage noter o. lign), bedes denne gøre opmærksom på dette ved mødets begyndelse. </w:t>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rPr>
        <w:t>Skader på private mobiltelefoner dækkes ikke af institutionen. Dette heller ikke på trods af, at den er anvendt til et arbejdsmæssigt formål.</w:t>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rPr>
        <w:t>_______</w:t>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b/>
          <w:bCs/>
          <w:sz w:val="36"/>
          <w:szCs w:val="36"/>
        </w:rPr>
      </w:pPr>
      <w:r>
        <w:rPr>
          <w:rFonts w:ascii="Calibri Light" w:hAnsi="Calibri Light" w:cs="Calibri Light"/>
          <w:b/>
          <w:bCs/>
          <w:sz w:val="36"/>
          <w:szCs w:val="36"/>
        </w:rPr>
        <w:t>RYGEPOLITIK</w:t>
      </w:r>
    </w:p>
    <w:p w:rsidR="005F417B" w:rsidRDefault="005F417B" w:rsidP="005F417B">
      <w:pPr>
        <w:rPr>
          <w:rFonts w:ascii="Calibri Light" w:hAnsi="Calibri Light" w:cs="Calibri Light"/>
          <w:b/>
          <w:bCs/>
          <w:sz w:val="36"/>
          <w:szCs w:val="36"/>
        </w:rPr>
      </w:pPr>
      <w:r>
        <w:rPr>
          <w:rFonts w:ascii="Calibri Light" w:hAnsi="Calibri Light" w:cs="Calibri Light"/>
          <w:noProof/>
          <w:lang w:eastAsia="da-DK"/>
        </w:rPr>
        <w:drawing>
          <wp:inline distT="0" distB="0" distL="0" distR="0">
            <wp:extent cx="1311910" cy="1280160"/>
            <wp:effectExtent l="0" t="0" r="2540" b="0"/>
            <wp:docPr id="2" name="Billede 2" descr="cid:image005.png@01DA0D9D.00EC3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cid:image005.png@01DA0D9D.00EC3E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11910" cy="1280160"/>
                    </a:xfrm>
                    <a:prstGeom prst="rect">
                      <a:avLst/>
                    </a:prstGeom>
                    <a:noFill/>
                    <a:ln>
                      <a:noFill/>
                    </a:ln>
                  </pic:spPr>
                </pic:pic>
              </a:graphicData>
            </a:graphic>
          </wp:inline>
        </w:drawing>
      </w:r>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rPr>
        <w:t>Der er rygeforbud i arbejdstiden. Dette uanset om, medarbejder befinder sig andre steder end på Himmelevs matrikel.</w:t>
      </w:r>
    </w:p>
    <w:p w:rsidR="005F417B" w:rsidRDefault="005F417B" w:rsidP="005F417B">
      <w:pPr>
        <w:rPr>
          <w:rFonts w:ascii="Calibri Light" w:hAnsi="Calibri Light" w:cs="Calibri Light"/>
        </w:rPr>
      </w:pPr>
      <w:r>
        <w:rPr>
          <w:rFonts w:ascii="Calibri Light" w:hAnsi="Calibri Light" w:cs="Calibri Light"/>
        </w:rPr>
        <w:t xml:space="preserve">Læs yderligere her </w:t>
      </w:r>
      <w:hyperlink r:id="rId11" w:history="1">
        <w:r>
          <w:rPr>
            <w:rStyle w:val="Hyperlink"/>
            <w:rFonts w:ascii="Calibri Light" w:hAnsi="Calibri Light" w:cs="Calibri Light"/>
          </w:rPr>
          <w:t>Rygepolitik—Side 2 (regionsjaelland.dk)</w:t>
        </w:r>
      </w:hyperlink>
    </w:p>
    <w:p w:rsidR="005F417B" w:rsidRDefault="005F417B" w:rsidP="005F417B">
      <w:pPr>
        <w:rPr>
          <w:rFonts w:ascii="Calibri Light" w:hAnsi="Calibri Light" w:cs="Calibri Light"/>
        </w:rPr>
      </w:pPr>
    </w:p>
    <w:p w:rsidR="005F417B" w:rsidRDefault="005F417B" w:rsidP="005F417B">
      <w:pPr>
        <w:rPr>
          <w:rFonts w:ascii="Calibri Light" w:hAnsi="Calibri Light" w:cs="Calibri Light"/>
        </w:rPr>
      </w:pPr>
      <w:r>
        <w:rPr>
          <w:rFonts w:ascii="Calibri Light" w:hAnsi="Calibri Light" w:cs="Calibri Light"/>
          <w:b/>
          <w:bCs/>
          <w:sz w:val="36"/>
          <w:szCs w:val="36"/>
        </w:rPr>
        <w:t>______</w:t>
      </w:r>
    </w:p>
    <w:p w:rsidR="005F417B" w:rsidRDefault="005F417B" w:rsidP="005F417B">
      <w:pPr>
        <w:rPr>
          <w:rFonts w:ascii="Calibri Light" w:hAnsi="Calibri Light" w:cs="Calibri Light"/>
          <w:b/>
          <w:bCs/>
          <w:sz w:val="36"/>
          <w:szCs w:val="36"/>
        </w:rPr>
      </w:pPr>
    </w:p>
    <w:p w:rsidR="005F417B" w:rsidRDefault="005F417B" w:rsidP="005F417B">
      <w:pPr>
        <w:rPr>
          <w:rFonts w:ascii="Calibri Light" w:hAnsi="Calibri Light" w:cs="Calibri Light"/>
          <w:b/>
          <w:bCs/>
          <w:sz w:val="36"/>
          <w:szCs w:val="36"/>
        </w:rPr>
      </w:pPr>
      <w:r>
        <w:rPr>
          <w:rFonts w:ascii="Calibri Light" w:hAnsi="Calibri Light" w:cs="Calibri Light"/>
          <w:b/>
          <w:bCs/>
          <w:sz w:val="36"/>
          <w:szCs w:val="36"/>
        </w:rPr>
        <w:t>… Uddrag af hygiejne politikken</w:t>
      </w:r>
    </w:p>
    <w:p w:rsidR="005F417B" w:rsidRDefault="005F417B" w:rsidP="005F417B">
      <w:pPr>
        <w:rPr>
          <w:rFonts w:ascii="Calibri Light" w:hAnsi="Calibri Light" w:cs="Calibri Light"/>
          <w:b/>
          <w:bCs/>
          <w:sz w:val="36"/>
          <w:szCs w:val="36"/>
        </w:rPr>
      </w:pPr>
      <w:r>
        <w:rPr>
          <w:rFonts w:ascii="Calibri Light" w:hAnsi="Calibri Light" w:cs="Calibri Light"/>
          <w:b/>
          <w:bCs/>
          <w:noProof/>
          <w:sz w:val="36"/>
          <w:szCs w:val="36"/>
          <w:lang w:eastAsia="da-DK"/>
        </w:rPr>
        <w:drawing>
          <wp:inline distT="0" distB="0" distL="0" distR="0">
            <wp:extent cx="970280" cy="970280"/>
            <wp:effectExtent l="0" t="0" r="1270" b="1270"/>
            <wp:docPr id="1" name="Billede 1" descr="cid:image009.jpg@01DA0D9E.04AF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cid:image009.jpg@01DA0D9E.04AF44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inline>
        </w:drawing>
      </w:r>
    </w:p>
    <w:p w:rsidR="005F417B" w:rsidRDefault="005F417B" w:rsidP="005F417B">
      <w:pPr>
        <w:spacing w:after="160" w:line="336" w:lineRule="auto"/>
        <w:rPr>
          <w:rFonts w:ascii="Calibri Light" w:hAnsi="Calibri Light" w:cs="Calibri Light"/>
          <w:b/>
          <w:bCs/>
          <w:sz w:val="24"/>
          <w:szCs w:val="24"/>
          <w:lang w:eastAsia="da-DK"/>
        </w:rPr>
      </w:pPr>
      <w:r>
        <w:rPr>
          <w:rFonts w:ascii="Calibri Light" w:hAnsi="Calibri Light" w:cs="Calibri Light"/>
          <w:b/>
          <w:bCs/>
          <w:sz w:val="24"/>
          <w:szCs w:val="24"/>
          <w:lang w:eastAsia="da-DK"/>
        </w:rPr>
        <w:t>Forudsætninger for korrekt udført håndhygiejne:</w:t>
      </w:r>
    </w:p>
    <w:p w:rsidR="005F417B" w:rsidRDefault="005F417B" w:rsidP="005F417B">
      <w:pPr>
        <w:numPr>
          <w:ilvl w:val="0"/>
          <w:numId w:val="1"/>
        </w:numPr>
        <w:spacing w:after="160" w:line="336"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Hud på hænder, håndled og underarme skal være intakt og uden synlig tegn på infektion</w:t>
      </w:r>
    </w:p>
    <w:p w:rsidR="005F417B" w:rsidRDefault="005F417B" w:rsidP="005F417B">
      <w:pPr>
        <w:numPr>
          <w:ilvl w:val="0"/>
          <w:numId w:val="1"/>
        </w:numPr>
        <w:spacing w:after="160" w:line="336"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Negle og neglebånd skal være synligt rene, hele og kortklippede </w:t>
      </w:r>
    </w:p>
    <w:p w:rsidR="005F417B" w:rsidRDefault="005F417B" w:rsidP="005F417B">
      <w:pPr>
        <w:numPr>
          <w:ilvl w:val="0"/>
          <w:numId w:val="1"/>
        </w:numPr>
        <w:spacing w:after="160" w:line="336"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Kunstige negle, negleforlængere og negleforstærkning må ikke anvendes </w:t>
      </w:r>
    </w:p>
    <w:p w:rsidR="005F417B" w:rsidRDefault="005F417B" w:rsidP="005F417B">
      <w:pPr>
        <w:numPr>
          <w:ilvl w:val="0"/>
          <w:numId w:val="1"/>
        </w:numPr>
        <w:spacing w:after="160" w:line="336"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Neglelak og neglesmykker må ikke anvendes</w:t>
      </w:r>
    </w:p>
    <w:p w:rsidR="005F417B" w:rsidRDefault="005F417B" w:rsidP="005F417B">
      <w:pPr>
        <w:numPr>
          <w:ilvl w:val="0"/>
          <w:numId w:val="1"/>
        </w:numPr>
        <w:spacing w:after="160" w:line="336"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Ærmer på arbejdsbeklædning skal være kortærmet/over albueniveau </w:t>
      </w:r>
    </w:p>
    <w:p w:rsidR="005F417B" w:rsidRDefault="005F417B" w:rsidP="005F417B">
      <w:pPr>
        <w:numPr>
          <w:ilvl w:val="0"/>
          <w:numId w:val="1"/>
        </w:numPr>
        <w:spacing w:after="160" w:line="336"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lastRenderedPageBreak/>
        <w:t>Fingerringe, armbånd, armbåndsur og andre smykker må ikke bæres under albueniveau</w:t>
      </w:r>
    </w:p>
    <w:p w:rsidR="005F417B" w:rsidRDefault="005F417B" w:rsidP="005F417B">
      <w:pPr>
        <w:numPr>
          <w:ilvl w:val="0"/>
          <w:numId w:val="1"/>
        </w:numPr>
        <w:spacing w:after="160" w:line="336"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Håndskinner, armstrømper, fingerforbinding, plaster eller lignende må ikke anvendes</w:t>
      </w:r>
    </w:p>
    <w:p w:rsidR="005F417B" w:rsidRDefault="005F417B" w:rsidP="005F417B">
      <w:pPr>
        <w:spacing w:after="160" w:line="336" w:lineRule="auto"/>
        <w:rPr>
          <w:rFonts w:ascii="Calibri Light" w:hAnsi="Calibri Light" w:cs="Calibri Light"/>
          <w:sz w:val="24"/>
          <w:szCs w:val="24"/>
          <w:lang w:eastAsia="da-DK"/>
        </w:rPr>
      </w:pPr>
      <w:r>
        <w:rPr>
          <w:rFonts w:ascii="Calibri Light" w:hAnsi="Calibri Light" w:cs="Calibri Light"/>
          <w:sz w:val="24"/>
          <w:szCs w:val="24"/>
          <w:lang w:eastAsia="da-DK"/>
        </w:rPr>
        <w:t>Hvis hænder, håndled eller underarme har tegn på infektion, eksem eller væskende sår, eller medarbejderen bærer armskinner, forbindinger eller lignende, er det en ledelsesmæssig opgave at vurdere, hvilke opgaver, medarbejderen kan varetage uden, at håndhygiejnen og sikkerheden for såvel medarbejderen som borgerne tilsidesættes</w:t>
      </w:r>
    </w:p>
    <w:p w:rsidR="005F417B" w:rsidRDefault="005F417B" w:rsidP="005F417B">
      <w:pPr>
        <w:spacing w:after="160" w:line="336" w:lineRule="auto"/>
        <w:rPr>
          <w:rFonts w:ascii="Calibri Light" w:hAnsi="Calibri Light" w:cs="Calibri Light"/>
          <w:i/>
          <w:iCs/>
          <w:sz w:val="24"/>
          <w:szCs w:val="24"/>
          <w:lang w:eastAsia="da-DK"/>
        </w:rPr>
      </w:pPr>
      <w:r>
        <w:rPr>
          <w:rFonts w:ascii="Calibri Light" w:hAnsi="Calibri Light" w:cs="Calibri Light"/>
          <w:i/>
          <w:iCs/>
          <w:sz w:val="24"/>
          <w:szCs w:val="24"/>
          <w:lang w:eastAsia="da-DK"/>
        </w:rPr>
        <w:t>Findes: O:\KVALITET standarder\Sundhed - Hygiejne på botilbud</w:t>
      </w:r>
    </w:p>
    <w:p w:rsidR="00D0156A" w:rsidRPr="00646581" w:rsidRDefault="00836207">
      <w:pPr>
        <w:rPr>
          <w:rFonts w:ascii="Georgia" w:hAnsi="Georgia"/>
        </w:rPr>
      </w:pPr>
    </w:p>
    <w:sectPr w:rsidR="00D0156A" w:rsidRPr="006465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31ED"/>
    <w:multiLevelType w:val="multilevel"/>
    <w:tmpl w:val="030C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7B"/>
    <w:rsid w:val="004763B3"/>
    <w:rsid w:val="0050739D"/>
    <w:rsid w:val="005F417B"/>
    <w:rsid w:val="00646581"/>
    <w:rsid w:val="00836207"/>
    <w:rsid w:val="00F63B77"/>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D5D73-9EAB-4014-A97F-D68F46CC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7B"/>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5F417B"/>
    <w:rPr>
      <w:color w:val="0563C1"/>
      <w:u w:val="single"/>
    </w:rPr>
  </w:style>
  <w:style w:type="paragraph" w:styleId="Markeringsbobletekst">
    <w:name w:val="Balloon Text"/>
    <w:basedOn w:val="Normal"/>
    <w:link w:val="MarkeringsbobletekstTegn"/>
    <w:uiPriority w:val="99"/>
    <w:semiHidden/>
    <w:unhideWhenUsed/>
    <w:rsid w:val="0083620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36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8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jpg@01DA0D9E.04AF4480" TargetMode="External"/><Relationship Id="rId13" Type="http://schemas.openxmlformats.org/officeDocument/2006/relationships/image" Target="cid:image009.jpg@01DA0D9E.04AF448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0D98.7A460450" TargetMode="External"/><Relationship Id="rId11" Type="http://schemas.openxmlformats.org/officeDocument/2006/relationships/hyperlink" Target="http://publikationer.regionsjaelland.dk/politikker/rygepolitik/?page=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cid:image005.png@01DA0D9D.00EC3E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 Marlene Engbart</dc:creator>
  <cp:keywords/>
  <dc:description/>
  <cp:lastModifiedBy>Mille Marlene Engbart</cp:lastModifiedBy>
  <cp:revision>2</cp:revision>
  <cp:lastPrinted>2024-04-22T09:18:00Z</cp:lastPrinted>
  <dcterms:created xsi:type="dcterms:W3CDTF">2024-04-22T09:17:00Z</dcterms:created>
  <dcterms:modified xsi:type="dcterms:W3CDTF">2024-04-22T09:18:00Z</dcterms:modified>
</cp:coreProperties>
</file>